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3E" w:rsidRPr="0006680E" w:rsidRDefault="0079773E" w:rsidP="0006680E">
      <w:pPr>
        <w:jc w:val="center"/>
        <w:rPr>
          <w:b/>
          <w:sz w:val="44"/>
          <w:szCs w:val="44"/>
          <w:u w:val="single"/>
        </w:rPr>
      </w:pPr>
      <w:r w:rsidRPr="0006680E">
        <w:rPr>
          <w:b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8C9DD1B" wp14:editId="23343BD6">
            <wp:simplePos x="0" y="0"/>
            <wp:positionH relativeFrom="margin">
              <wp:align>left</wp:align>
            </wp:positionH>
            <wp:positionV relativeFrom="paragraph">
              <wp:posOffset>356</wp:posOffset>
            </wp:positionV>
            <wp:extent cx="7620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060" y="21287"/>
                <wp:lineTo x="21060" y="0"/>
                <wp:lineTo x="0" y="0"/>
              </wp:wrapPolygon>
            </wp:wrapTight>
            <wp:docPr id="1" name="Image 1" descr="C:\Users\quentin\Desktop\suivi mayotte\logo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80E" w:rsidRPr="0006680E">
        <w:rPr>
          <w:b/>
          <w:sz w:val="44"/>
          <w:szCs w:val="44"/>
          <w:u w:val="single"/>
        </w:rPr>
        <w:t>Non les contractuels de Mayotte ne sont pas les mieux rémunérés…</w:t>
      </w:r>
    </w:p>
    <w:p w:rsidR="0006680E" w:rsidRDefault="0006680E" w:rsidP="0006680E">
      <w:pPr>
        <w:jc w:val="center"/>
      </w:pPr>
      <w:r w:rsidRPr="0006680E">
        <w:rPr>
          <w:b/>
          <w:sz w:val="44"/>
          <w:szCs w:val="44"/>
          <w:u w:val="single"/>
        </w:rPr>
        <w:t>Une véritable négociation doit avoir lieu !</w:t>
      </w:r>
    </w:p>
    <w:p w:rsidR="00246EC9" w:rsidRDefault="00691906" w:rsidP="00515633">
      <w:pPr>
        <w:jc w:val="both"/>
      </w:pPr>
      <w:r>
        <w:br/>
      </w:r>
      <w:r w:rsidR="00A26BDA">
        <w:t>Le 21 avril, un groupe de travail spécial s’est tenu sur la question des conditions d’emplois des agents contractuels d’enseignement, d’éducation et d’orientation. L</w:t>
      </w:r>
      <w:r w:rsidR="00A431F5">
        <w:t>e vice-rectorat a exclu la CGT Éduc’action</w:t>
      </w:r>
      <w:r w:rsidR="00A26BDA">
        <w:t xml:space="preserve"> Mayotte de ce groupe de travail</w:t>
      </w:r>
      <w:r w:rsidR="00246EC9">
        <w:t xml:space="preserve">. </w:t>
      </w:r>
    </w:p>
    <w:p w:rsidR="00A26BDA" w:rsidRDefault="00246EC9" w:rsidP="00515633">
      <w:pPr>
        <w:jc w:val="both"/>
      </w:pPr>
      <w:r>
        <w:t>Il va sans dire que les conclusions de ce groupe de travail</w:t>
      </w:r>
      <w:r w:rsidR="00D2403B">
        <w:t xml:space="preserve"> </w:t>
      </w:r>
      <w:r>
        <w:t xml:space="preserve">ne sont pas pour nous satisfaisantes. Mais la partie n’est pas terminée car le CTP, qui doit valider les indices de rémunérations des contractuels, n’a pas encore eu lieu. </w:t>
      </w:r>
    </w:p>
    <w:tbl>
      <w:tblPr>
        <w:tblStyle w:val="Grilledutableau"/>
        <w:tblpPr w:leftFromText="141" w:rightFromText="141" w:vertAnchor="page" w:horzAnchor="margin" w:tblpY="645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C58C5" w:rsidTr="00DC58C5">
        <w:trPr>
          <w:trHeight w:val="274"/>
        </w:trPr>
        <w:tc>
          <w:tcPr>
            <w:tcW w:w="9062" w:type="dxa"/>
            <w:gridSpan w:val="5"/>
          </w:tcPr>
          <w:p w:rsidR="00DC58C5" w:rsidRPr="00691906" w:rsidRDefault="00DC58C5" w:rsidP="00515633">
            <w:pPr>
              <w:jc w:val="center"/>
              <w:rPr>
                <w:sz w:val="28"/>
                <w:szCs w:val="28"/>
              </w:rPr>
            </w:pPr>
            <w:r w:rsidRPr="00691906">
              <w:rPr>
                <w:sz w:val="28"/>
                <w:szCs w:val="28"/>
              </w:rPr>
              <w:t>Indices de recrutement (INM) à Mayotte et dans l’académie de Créteil</w:t>
            </w:r>
          </w:p>
          <w:p w:rsidR="00DC58C5" w:rsidRDefault="00DC58C5" w:rsidP="00515633">
            <w:pPr>
              <w:jc w:val="both"/>
            </w:pPr>
          </w:p>
        </w:tc>
      </w:tr>
      <w:tr w:rsidR="00DC58C5" w:rsidTr="00DC58C5">
        <w:tc>
          <w:tcPr>
            <w:tcW w:w="1812" w:type="dxa"/>
          </w:tcPr>
          <w:p w:rsidR="00DC58C5" w:rsidRDefault="00DC58C5" w:rsidP="00515633">
            <w:pPr>
              <w:jc w:val="both"/>
            </w:pP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Mayotte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Créteil 1</w:t>
            </w:r>
            <w:r w:rsidRPr="00CE57F7">
              <w:rPr>
                <w:vertAlign w:val="superscript"/>
              </w:rPr>
              <w:t>er</w:t>
            </w:r>
            <w:r>
              <w:t xml:space="preserve"> degré et voie générale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Créteil voie technologique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Créteil voie professionnelle</w:t>
            </w:r>
          </w:p>
        </w:tc>
      </w:tr>
      <w:tr w:rsidR="00DC58C5" w:rsidTr="00DC58C5">
        <w:tc>
          <w:tcPr>
            <w:tcW w:w="1812" w:type="dxa"/>
          </w:tcPr>
          <w:p w:rsidR="00DC58C5" w:rsidRDefault="00DC58C5" w:rsidP="00515633">
            <w:pPr>
              <w:jc w:val="both"/>
            </w:pPr>
            <w:r>
              <w:t>CAP/BEP/BAC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327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367</w:t>
            </w:r>
          </w:p>
        </w:tc>
      </w:tr>
      <w:tr w:rsidR="00DC58C5" w:rsidTr="00DC58C5">
        <w:tc>
          <w:tcPr>
            <w:tcW w:w="1812" w:type="dxa"/>
          </w:tcPr>
          <w:p w:rsidR="00DC58C5" w:rsidRDefault="00DC58C5" w:rsidP="00515633">
            <w:pPr>
              <w:jc w:val="both"/>
            </w:pPr>
            <w:r>
              <w:t>Bac+2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327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337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389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388</w:t>
            </w:r>
          </w:p>
        </w:tc>
      </w:tr>
      <w:tr w:rsidR="00DC58C5" w:rsidTr="00DC58C5">
        <w:tc>
          <w:tcPr>
            <w:tcW w:w="1812" w:type="dxa"/>
          </w:tcPr>
          <w:p w:rsidR="00DC58C5" w:rsidRDefault="00DC58C5" w:rsidP="00515633">
            <w:pPr>
              <w:jc w:val="both"/>
            </w:pPr>
            <w:r>
              <w:t>Bac+3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367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410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410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410</w:t>
            </w:r>
          </w:p>
        </w:tc>
      </w:tr>
      <w:tr w:rsidR="00DC58C5" w:rsidTr="00DC58C5">
        <w:tc>
          <w:tcPr>
            <w:tcW w:w="1812" w:type="dxa"/>
          </w:tcPr>
          <w:p w:rsidR="00DC58C5" w:rsidRDefault="00DC58C5" w:rsidP="00515633">
            <w:pPr>
              <w:jc w:val="both"/>
            </w:pPr>
            <w:r>
              <w:t>Bac+4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367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431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431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431</w:t>
            </w:r>
          </w:p>
        </w:tc>
      </w:tr>
      <w:tr w:rsidR="00DC58C5" w:rsidTr="00DC58C5">
        <w:tc>
          <w:tcPr>
            <w:tcW w:w="1812" w:type="dxa"/>
          </w:tcPr>
          <w:p w:rsidR="00DC58C5" w:rsidRDefault="00DC58C5" w:rsidP="00515633">
            <w:pPr>
              <w:jc w:val="both"/>
            </w:pPr>
            <w:r>
              <w:t>Bac+5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410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453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453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453</w:t>
            </w:r>
          </w:p>
        </w:tc>
      </w:tr>
      <w:tr w:rsidR="00DC58C5" w:rsidTr="00DC58C5">
        <w:tc>
          <w:tcPr>
            <w:tcW w:w="1812" w:type="dxa"/>
          </w:tcPr>
          <w:p w:rsidR="00DC58C5" w:rsidRDefault="00DC58C5" w:rsidP="00515633">
            <w:pPr>
              <w:jc w:val="both"/>
            </w:pPr>
            <w:r>
              <w:t>Doctorat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410</w:t>
            </w:r>
          </w:p>
        </w:tc>
        <w:tc>
          <w:tcPr>
            <w:tcW w:w="1812" w:type="dxa"/>
          </w:tcPr>
          <w:p w:rsidR="00DC58C5" w:rsidRDefault="00DC58C5" w:rsidP="00515633">
            <w:pPr>
              <w:jc w:val="center"/>
            </w:pPr>
            <w:r>
              <w:t>475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475</w:t>
            </w:r>
          </w:p>
        </w:tc>
        <w:tc>
          <w:tcPr>
            <w:tcW w:w="1813" w:type="dxa"/>
          </w:tcPr>
          <w:p w:rsidR="00DC58C5" w:rsidRDefault="00DC58C5" w:rsidP="00515633">
            <w:pPr>
              <w:jc w:val="center"/>
            </w:pPr>
            <w:r>
              <w:t>475</w:t>
            </w:r>
          </w:p>
        </w:tc>
      </w:tr>
    </w:tbl>
    <w:p w:rsidR="001D5BE6" w:rsidRDefault="00246EC9" w:rsidP="00D2403B">
      <w:pPr>
        <w:jc w:val="both"/>
      </w:pPr>
      <w:r>
        <w:t xml:space="preserve">A titre de comparaison, voici ce qui va sa faire dans l’académie de Créteil, </w:t>
      </w:r>
      <w:r w:rsidR="009A1008">
        <w:t xml:space="preserve">où les contractuels, majoritairement syndiqués à la CGT </w:t>
      </w:r>
      <w:r w:rsidR="00A431F5">
        <w:t>Éduc’action</w:t>
      </w:r>
      <w:r w:rsidR="009A1008">
        <w:t xml:space="preserve">, ont su imposer un rapport de force favorable. </w:t>
      </w:r>
    </w:p>
    <w:p w:rsidR="001D5BE6" w:rsidRDefault="001D5BE6" w:rsidP="00515633">
      <w:pPr>
        <w:jc w:val="both"/>
      </w:pPr>
      <w:r>
        <w:t xml:space="preserve">En outre, dans l’académie de Créteil, la grille prend en compte l’expérience professionnelle dans la voie technologique et professionnelle. Ainsi, à titre d’exemple, l’indice de recrutement d’un collègue de la voie pro ayant 10 ans d’expérience sera 573 à Créteil et 327 à Mayotte, soit un écart de rémunération de 600 euros mensuels ! </w:t>
      </w:r>
    </w:p>
    <w:p w:rsidR="001D5BE6" w:rsidRPr="00515633" w:rsidRDefault="001D5BE6" w:rsidP="001D5BE6">
      <w:pPr>
        <w:jc w:val="center"/>
        <w:rPr>
          <w:b/>
          <w:sz w:val="28"/>
          <w:szCs w:val="28"/>
          <w:u w:val="single"/>
        </w:rPr>
      </w:pPr>
      <w:r w:rsidRPr="00515633">
        <w:rPr>
          <w:b/>
          <w:sz w:val="28"/>
          <w:szCs w:val="28"/>
          <w:u w:val="single"/>
        </w:rPr>
        <w:t xml:space="preserve">Pour la CGT </w:t>
      </w:r>
      <w:r w:rsidR="003B5A34" w:rsidRPr="00515633">
        <w:rPr>
          <w:b/>
          <w:sz w:val="28"/>
          <w:szCs w:val="28"/>
          <w:u w:val="single"/>
        </w:rPr>
        <w:t>Éduc’action</w:t>
      </w:r>
      <w:bookmarkStart w:id="0" w:name="_GoBack"/>
      <w:bookmarkEnd w:id="0"/>
      <w:r w:rsidRPr="00515633">
        <w:rPr>
          <w:b/>
          <w:sz w:val="28"/>
          <w:szCs w:val="28"/>
          <w:u w:val="single"/>
        </w:rPr>
        <w:t xml:space="preserve"> Mayotte, ce dossier est loin d’être clos et une véritable négociation doit s’ouvrir !</w:t>
      </w:r>
    </w:p>
    <w:p w:rsidR="001D5BE6" w:rsidRDefault="001D5BE6" w:rsidP="00515633">
      <w:pPr>
        <w:jc w:val="both"/>
      </w:pPr>
      <w:r w:rsidRPr="001D5BE6">
        <w:t xml:space="preserve">D’autre part, les conditions de mise en œuvre de la revalorisation salariale </w:t>
      </w:r>
      <w:r>
        <w:t xml:space="preserve">tous les trois ans </w:t>
      </w:r>
      <w:r w:rsidRPr="001D5BE6">
        <w:t>ne sont pas claires et doivent être précisé</w:t>
      </w:r>
      <w:r w:rsidR="00EE583B">
        <w:t>e</w:t>
      </w:r>
      <w:r w:rsidRPr="001D5BE6">
        <w:t>s (il existe dans certaines académies de véritables grilles d’avancement).</w:t>
      </w:r>
    </w:p>
    <w:p w:rsidR="001D5BE6" w:rsidRDefault="00515633" w:rsidP="00515633">
      <w:pPr>
        <w:jc w:val="both"/>
      </w:pPr>
      <w:r>
        <w:t xml:space="preserve">Enfin, la CGT </w:t>
      </w:r>
      <w:r w:rsidR="00A431F5">
        <w:t>Éduc’action</w:t>
      </w:r>
      <w:r>
        <w:t xml:space="preserve"> Mayotte continue de revendiquer une « prime d’installation pour tous » et une transparence complète au niveau des affectations (comment expliquer que certains collègues n’obtiennent jamais l’affectation demandée sans aucune explication ?).</w:t>
      </w:r>
    </w:p>
    <w:p w:rsidR="00515633" w:rsidRPr="00D2403B" w:rsidRDefault="00515633" w:rsidP="00515633">
      <w:pPr>
        <w:jc w:val="center"/>
        <w:rPr>
          <w:b/>
          <w:sz w:val="40"/>
          <w:szCs w:val="40"/>
          <w:u w:val="single"/>
        </w:rPr>
      </w:pPr>
      <w:r w:rsidRPr="00D2403B">
        <w:rPr>
          <w:b/>
          <w:sz w:val="40"/>
          <w:szCs w:val="40"/>
          <w:u w:val="single"/>
        </w:rPr>
        <w:t>Les agents contractuels ont des droits ! Mardi 6 juin, toutes et tous en grève et en manifestation !</w:t>
      </w:r>
    </w:p>
    <w:p w:rsidR="00515633" w:rsidRPr="00515633" w:rsidRDefault="00515633" w:rsidP="00D2403B">
      <w:pPr>
        <w:jc w:val="center"/>
        <w:rPr>
          <w:b/>
          <w:sz w:val="28"/>
          <w:szCs w:val="28"/>
        </w:rPr>
      </w:pPr>
      <w:r w:rsidRPr="00515633">
        <w:rPr>
          <w:b/>
          <w:sz w:val="28"/>
          <w:szCs w:val="28"/>
        </w:rPr>
        <w:t>(RDV 9h devant le vice-rectorat)</w:t>
      </w:r>
    </w:p>
    <w:sectPr w:rsidR="00515633" w:rsidRPr="0051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F7"/>
    <w:rsid w:val="000142EA"/>
    <w:rsid w:val="0006680E"/>
    <w:rsid w:val="001D5BE6"/>
    <w:rsid w:val="00246EC9"/>
    <w:rsid w:val="003B5A34"/>
    <w:rsid w:val="00515633"/>
    <w:rsid w:val="00691906"/>
    <w:rsid w:val="006B3A6D"/>
    <w:rsid w:val="00767944"/>
    <w:rsid w:val="0079773E"/>
    <w:rsid w:val="008177D7"/>
    <w:rsid w:val="009A1008"/>
    <w:rsid w:val="009B6D9B"/>
    <w:rsid w:val="00A26BDA"/>
    <w:rsid w:val="00A431F5"/>
    <w:rsid w:val="00AC4619"/>
    <w:rsid w:val="00C608C6"/>
    <w:rsid w:val="00CE57F7"/>
    <w:rsid w:val="00D2403B"/>
    <w:rsid w:val="00DC58C5"/>
    <w:rsid w:val="00E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0D10-5A43-4ABD-A973-0D394FD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unsen</dc:creator>
  <cp:keywords/>
  <dc:description/>
  <cp:lastModifiedBy>elus unsen</cp:lastModifiedBy>
  <cp:revision>15</cp:revision>
  <dcterms:created xsi:type="dcterms:W3CDTF">2017-06-01T13:55:00Z</dcterms:created>
  <dcterms:modified xsi:type="dcterms:W3CDTF">2017-06-01T15:32:00Z</dcterms:modified>
</cp:coreProperties>
</file>